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490F">
      <w:pPr>
        <w:pStyle w:val="61"/>
        <w:tabs>
          <w:tab w:val="right" w:pos="9639"/>
        </w:tabs>
        <w:spacing w:after="0"/>
        <w:rPr>
          <w:rFonts w:hint="default"/>
          <w:b/>
          <w:i/>
          <w:sz w:val="28"/>
          <w:highlight w:val="none"/>
          <w:lang w:val="en-US" w:eastAsia="zh-CN"/>
        </w:rPr>
      </w:pPr>
      <w:bookmarkStart w:id="4" w:name="_GoBack"/>
      <w:r>
        <w:rPr>
          <w:b/>
          <w:sz w:val="24"/>
          <w:highlight w:val="none"/>
        </w:rPr>
        <w:t>3GPP TSG-RAN5 Meeting #</w:t>
      </w:r>
      <w:r>
        <w:rPr>
          <w:rFonts w:hint="eastAsia"/>
          <w:b/>
          <w:sz w:val="24"/>
          <w:highlight w:val="none"/>
          <w:lang w:val="en-US" w:eastAsia="zh-CN"/>
        </w:rPr>
        <w:t>109</w:t>
      </w:r>
      <w:r>
        <w:rPr>
          <w:b/>
          <w:i/>
          <w:sz w:val="28"/>
          <w:highlight w:val="none"/>
        </w:rPr>
        <w:tab/>
      </w:r>
      <w:r>
        <w:rPr>
          <w:rFonts w:hint="eastAsia"/>
          <w:b/>
          <w:sz w:val="24"/>
          <w:highlight w:val="none"/>
          <w:lang w:val="en-US" w:eastAsia="zh-CN"/>
        </w:rPr>
        <w:t>R5-256596</w:t>
      </w:r>
    </w:p>
    <w:p w14:paraId="39FD6D54">
      <w:pPr>
        <w:pStyle w:val="61"/>
        <w:tabs>
          <w:tab w:val="right" w:pos="9639"/>
        </w:tabs>
        <w:spacing w:after="0"/>
        <w:rPr>
          <w:b/>
          <w:sz w:val="24"/>
          <w:highlight w:val="none"/>
          <w:lang w:eastAsia="zh-CN"/>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p>
    <w:p w14:paraId="6AC25CF4">
      <w:pPr>
        <w:pStyle w:val="61"/>
        <w:tabs>
          <w:tab w:val="right" w:pos="9639"/>
        </w:tabs>
        <w:spacing w:after="0"/>
        <w:rPr>
          <w:b/>
          <w:sz w:val="24"/>
          <w:highlight w:val="none"/>
        </w:rPr>
      </w:pPr>
    </w:p>
    <w:p w14:paraId="506F131E">
      <w:pPr>
        <w:pStyle w:val="61"/>
        <w:tabs>
          <w:tab w:val="right" w:pos="9639"/>
        </w:tabs>
        <w:spacing w:after="0"/>
        <w:rPr>
          <w:b/>
          <w:color w:val="A6A6A6" w:themeColor="background1" w:themeShade="A6"/>
          <w:sz w:val="24"/>
          <w:highlight w:val="none"/>
        </w:rPr>
      </w:pPr>
      <w:r>
        <w:rPr>
          <w:b/>
          <w:color w:val="A6A6A6" w:themeColor="background1" w:themeShade="A6"/>
          <w:sz w:val="24"/>
          <w:highlight w:val="none"/>
        </w:rPr>
        <w:t>3GPP TSG RAN Meeting #1</w:t>
      </w:r>
      <w:r>
        <w:rPr>
          <w:rFonts w:hint="eastAsia"/>
          <w:b/>
          <w:color w:val="A6A6A6" w:themeColor="background1" w:themeShade="A6"/>
          <w:sz w:val="24"/>
          <w:highlight w:val="none"/>
          <w:lang w:val="en-US" w:eastAsia="zh-CN"/>
        </w:rPr>
        <w:t>10</w:t>
      </w:r>
      <w:r>
        <w:rPr>
          <w:b/>
          <w:color w:val="A6A6A6" w:themeColor="background1" w:themeShade="A6"/>
          <w:sz w:val="24"/>
          <w:highlight w:val="none"/>
        </w:rPr>
        <w:tab/>
      </w:r>
      <w:r>
        <w:rPr>
          <w:b/>
          <w:color w:val="A6A6A6" w:themeColor="background1" w:themeShade="A6"/>
          <w:sz w:val="24"/>
          <w:highlight w:val="none"/>
        </w:rPr>
        <w:t>RP-2</w:t>
      </w:r>
      <w:r>
        <w:rPr>
          <w:rFonts w:hint="eastAsia"/>
          <w:b/>
          <w:color w:val="A6A6A6" w:themeColor="background1" w:themeShade="A6"/>
          <w:sz w:val="24"/>
          <w:highlight w:val="none"/>
          <w:lang w:val="en-US" w:eastAsia="zh-CN"/>
        </w:rPr>
        <w:t>5</w:t>
      </w:r>
      <w:r>
        <w:rPr>
          <w:b/>
          <w:color w:val="A6A6A6" w:themeColor="background1" w:themeShade="A6"/>
          <w:sz w:val="24"/>
          <w:highlight w:val="none"/>
        </w:rPr>
        <w:t>xxxx</w:t>
      </w:r>
    </w:p>
    <w:p w14:paraId="7A5238E3">
      <w:pPr>
        <w:pStyle w:val="61"/>
        <w:tabs>
          <w:tab w:val="right" w:pos="9639"/>
        </w:tabs>
        <w:spacing w:after="0"/>
        <w:rPr>
          <w:rFonts w:hint="eastAsia"/>
          <w:b/>
          <w:color w:val="A6A6A6" w:themeColor="background1" w:themeShade="A6"/>
          <w:sz w:val="24"/>
          <w:highlight w:val="none"/>
          <w:lang w:val="en-US" w:eastAsia="zh-CN"/>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ascii="Arial" w:hAnsi="Arial" w:eastAsia="Batang" w:cs="Arial"/>
          <w:b/>
          <w:sz w:val="24"/>
          <w:szCs w:val="24"/>
          <w:highlight w:val="none"/>
        </w:rPr>
        <w:t xml:space="preserve">New WID on </w:t>
      </w:r>
      <w:r>
        <w:rPr>
          <w:rFonts w:hint="eastAsia" w:ascii="Arial" w:hAnsi="Arial" w:eastAsia="宋体" w:cs="Arial"/>
          <w:b/>
          <w:sz w:val="24"/>
          <w:szCs w:val="24"/>
          <w:highlight w:val="none"/>
          <w:lang w:val="en-US" w:eastAsia="zh-CN"/>
        </w:rPr>
        <w:t>Device</w:t>
      </w:r>
      <w:r>
        <w:rPr>
          <w:rFonts w:hint="eastAsia" w:ascii="Arial" w:hAnsi="Arial" w:eastAsia="宋体" w:cs="Arial"/>
          <w:b/>
          <w:sz w:val="24"/>
          <w:szCs w:val="24"/>
          <w:highlight w:val="none"/>
          <w:lang w:val="en-US" w:eastAsia="zh-CN"/>
        </w:rPr>
        <w:t xml:space="preserve"> </w:t>
      </w:r>
      <w:r>
        <w:rPr>
          <w:rFonts w:ascii="Arial" w:hAnsi="Arial" w:eastAsia="Batang" w:cs="Arial"/>
          <w:b/>
          <w:sz w:val="24"/>
          <w:szCs w:val="24"/>
          <w:highlight w:val="none"/>
        </w:rPr>
        <w:t>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plus CT1 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Endorsement</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w:t>
      </w:r>
      <w:r>
        <w:rPr>
          <w:rFonts w:ascii="Arial" w:hAnsi="Arial" w:eastAsia="Batang"/>
          <w:b/>
          <w:sz w:val="24"/>
          <w:szCs w:val="24"/>
          <w:highlight w:val="none"/>
        </w:rPr>
        <w:t>.1</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0" w:name="_Hlt515348424"/>
      <w:bookmarkStart w:id="1" w:name="_Hlt515348423"/>
      <w:r>
        <w:rPr>
          <w:rStyle w:val="51"/>
          <w:highlight w:val="none"/>
        </w:rPr>
        <w:t>T</w:t>
      </w:r>
      <w:bookmarkEnd w:id="0"/>
      <w:bookmarkEnd w:id="1"/>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 xml:space="preserve">Title: </w:t>
      </w:r>
      <w:r>
        <w:rPr>
          <w:rFonts w:hint="eastAsia" w:eastAsia="宋体"/>
          <w:sz w:val="32"/>
          <w:szCs w:val="32"/>
          <w:highlight w:val="none"/>
          <w:lang w:val="en-US" w:eastAsia="zh-CN"/>
        </w:rPr>
        <w:t>Device</w:t>
      </w:r>
      <w:r>
        <w:rPr>
          <w:rFonts w:hint="eastAsia" w:eastAsia="宋体"/>
          <w:sz w:val="32"/>
          <w:szCs w:val="32"/>
          <w:highlight w:val="none"/>
          <w:lang w:val="en-US" w:eastAsia="zh-CN"/>
        </w:rPr>
        <w:t xml:space="preserve"> </w:t>
      </w:r>
      <w:r>
        <w:rPr>
          <w:sz w:val="32"/>
          <w:szCs w:val="32"/>
          <w:highlight w:val="none"/>
        </w:rPr>
        <w:t>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plus CT1 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sz w:val="32"/>
          <w:szCs w:val="32"/>
          <w:highlight w:val="none"/>
        </w:rPr>
        <w:t>-</w:t>
      </w:r>
      <w:r>
        <w:rPr>
          <w:rFonts w:hint="eastAsia" w:eastAsia="宋体"/>
          <w:sz w:val="32"/>
          <w:szCs w:val="32"/>
          <w:highlight w:val="none"/>
          <w:lang w:val="en-US" w:eastAsia="zh-CN"/>
        </w:rPr>
        <w:t>Dev</w:t>
      </w:r>
      <w:r>
        <w:rPr>
          <w:sz w:val="32"/>
          <w:szCs w:val="32"/>
          <w:highlight w:val="none"/>
        </w:rPr>
        <w:t>ConTest</w:t>
      </w:r>
    </w:p>
    <w:p w14:paraId="33B082E0">
      <w:pPr>
        <w:pStyle w:val="10"/>
        <w:ind w:left="2835" w:hanging="2835"/>
        <w:rPr>
          <w:sz w:val="32"/>
          <w:szCs w:val="32"/>
          <w:highlight w:val="none"/>
        </w:rPr>
      </w:pPr>
      <w:r>
        <w:rPr>
          <w:sz w:val="32"/>
          <w:szCs w:val="32"/>
          <w:highlight w:val="none"/>
        </w:rPr>
        <w:t>Unique identifier:</w:t>
      </w:r>
      <w:r>
        <w:rPr>
          <w:sz w:val="32"/>
          <w:szCs w:val="32"/>
          <w:highlight w:val="none"/>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2" w:name="OLE_LINK1"/>
      <w:r>
        <w:rPr>
          <w:highlight w:val="none"/>
        </w:rPr>
        <w:t>2.3</w:t>
      </w:r>
      <w:r>
        <w:rPr>
          <w:highlight w:val="none"/>
        </w:rPr>
        <w:tab/>
      </w:r>
      <w:r>
        <w:rPr>
          <w:highlight w:val="none"/>
        </w:rP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r w14:paraId="3B9AA1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vAlign w:val="top"/>
          </w:tcPr>
          <w:p w14:paraId="2EF39508">
            <w:pPr>
              <w:spacing w:after="0"/>
              <w:ind w:right="-96" w:rightChars="0"/>
              <w:rPr>
                <w:highlight w:val="none"/>
              </w:rPr>
            </w:pPr>
            <w:r>
              <w:rPr>
                <w:rFonts w:hint="eastAsia"/>
                <w:highlight w:val="none"/>
              </w:rPr>
              <w:t>AmbientIoT</w:t>
            </w:r>
          </w:p>
        </w:tc>
        <w:tc>
          <w:tcPr>
            <w:tcW w:w="1134" w:type="dxa"/>
            <w:shd w:val="clear" w:color="auto" w:fill="auto"/>
            <w:vAlign w:val="top"/>
          </w:tcPr>
          <w:p w14:paraId="14DAFF23">
            <w:pPr>
              <w:pStyle w:val="58"/>
              <w:ind w:right="-99" w:rightChars="0"/>
              <w:jc w:val="left"/>
              <w:rPr>
                <w:b w:val="0"/>
                <w:bCs/>
                <w:highlight w:val="none"/>
              </w:rPr>
            </w:pPr>
            <w:r>
              <w:rPr>
                <w:rFonts w:hint="eastAsia"/>
                <w:b w:val="0"/>
                <w:bCs/>
                <w:highlight w:val="none"/>
              </w:rPr>
              <w:t>1020030</w:t>
            </w:r>
          </w:p>
        </w:tc>
        <w:tc>
          <w:tcPr>
            <w:tcW w:w="3402" w:type="dxa"/>
            <w:shd w:val="clear" w:color="auto" w:fill="auto"/>
            <w:vAlign w:val="top"/>
          </w:tcPr>
          <w:p w14:paraId="1480A4DB">
            <w:pPr>
              <w:pStyle w:val="58"/>
              <w:ind w:right="-99" w:rightChars="0"/>
              <w:jc w:val="left"/>
              <w:rPr>
                <w:b w:val="0"/>
                <w:bCs/>
                <w:highlight w:val="none"/>
              </w:rPr>
            </w:pPr>
            <w:r>
              <w:rPr>
                <w:rFonts w:hint="eastAsia"/>
                <w:b w:val="0"/>
                <w:bCs/>
                <w:highlight w:val="none"/>
              </w:rPr>
              <w:t>Stage 1 of Ambient power-enabled Internet of Things</w:t>
            </w:r>
          </w:p>
        </w:tc>
        <w:tc>
          <w:tcPr>
            <w:tcW w:w="4536" w:type="dxa"/>
            <w:shd w:val="clear" w:color="auto" w:fill="auto"/>
            <w:vAlign w:val="top"/>
          </w:tcPr>
          <w:p w14:paraId="318ECE9D">
            <w:pPr>
              <w:pStyle w:val="92"/>
              <w:rPr>
                <w:i/>
                <w:sz w:val="20"/>
                <w:highlight w:val="none"/>
              </w:rPr>
            </w:pPr>
            <w:r>
              <w:rPr>
                <w:rFonts w:hint="eastAsia" w:eastAsia="宋体"/>
                <w:i/>
                <w:sz w:val="20"/>
                <w:highlight w:val="none"/>
                <w:lang w:val="en-US" w:eastAsia="zh-CN"/>
              </w:rPr>
              <w:t>SA1 aspects of Ambient power-enabled Internet of Things</w:t>
            </w:r>
          </w:p>
        </w:tc>
      </w:tr>
      <w:tr w14:paraId="5DEB5A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tcPr>
          <w:p w14:paraId="3F0972A3">
            <w:pPr>
              <w:spacing w:after="0"/>
              <w:ind w:right="-96"/>
              <w:rPr>
                <w:rFonts w:ascii="Arial" w:hAnsi="Arial" w:cs="Arial"/>
                <w:b/>
                <w:bCs/>
                <w:color w:val="0000FF"/>
                <w:sz w:val="18"/>
                <w:szCs w:val="18"/>
                <w:highlight w:val="none"/>
              </w:rPr>
            </w:pPr>
            <w:r>
              <w:rPr>
                <w:highlight w:val="none"/>
              </w:rPr>
              <w:t>AmbientIoT-ARC</w:t>
            </w:r>
          </w:p>
        </w:tc>
        <w:tc>
          <w:tcPr>
            <w:tcW w:w="1134" w:type="dxa"/>
            <w:shd w:val="clear" w:color="auto" w:fill="auto"/>
          </w:tcPr>
          <w:p w14:paraId="204B819A">
            <w:pPr>
              <w:pStyle w:val="58"/>
              <w:ind w:right="-99"/>
              <w:jc w:val="left"/>
              <w:rPr>
                <w:highlight w:val="none"/>
              </w:rPr>
            </w:pPr>
            <w:r>
              <w:rPr>
                <w:b w:val="0"/>
                <w:bCs/>
                <w:highlight w:val="none"/>
              </w:rPr>
              <w:t>1070010</w:t>
            </w:r>
          </w:p>
        </w:tc>
        <w:tc>
          <w:tcPr>
            <w:tcW w:w="3402" w:type="dxa"/>
            <w:shd w:val="clear" w:color="auto" w:fill="auto"/>
          </w:tcPr>
          <w:p w14:paraId="3EDE14F7">
            <w:pPr>
              <w:pStyle w:val="58"/>
              <w:ind w:right="-99"/>
              <w:jc w:val="left"/>
              <w:rPr>
                <w:highlight w:val="none"/>
              </w:rPr>
            </w:pPr>
            <w:r>
              <w:rPr>
                <w:b w:val="0"/>
                <w:bCs/>
                <w:highlight w:val="none"/>
              </w:rPr>
              <w:t>Architecture support of Ambient power-enabled Internet of Things</w:t>
            </w:r>
          </w:p>
        </w:tc>
        <w:tc>
          <w:tcPr>
            <w:tcW w:w="4536" w:type="dxa"/>
            <w:shd w:val="clear" w:color="auto" w:fill="auto"/>
            <w:vAlign w:val="top"/>
          </w:tcPr>
          <w:p w14:paraId="22696E40">
            <w:pPr>
              <w:pStyle w:val="92"/>
              <w:rPr>
                <w:highlight w:val="none"/>
              </w:rPr>
            </w:pPr>
            <w:r>
              <w:rPr>
                <w:rFonts w:hint="eastAsia" w:eastAsia="宋体"/>
                <w:i/>
                <w:sz w:val="20"/>
                <w:highlight w:val="none"/>
                <w:lang w:val="en-US" w:eastAsia="zh-CN"/>
              </w:rPr>
              <w:t>SA2 aspects of Ambient power-enabled Internet of Things</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3"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3"/>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 </w:t>
      </w:r>
    </w:p>
    <w:p w14:paraId="38ADE245">
      <w:pPr>
        <w:spacing w:before="120" w:beforeLines="50"/>
        <w:jc w:val="both"/>
        <w:rPr>
          <w:i w:val="0"/>
          <w:highlight w:val="none"/>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bCs/>
          <w:highlight w:val="none"/>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1022"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vAlign w:val="top"/>
          </w:tcPr>
          <w:p w14:paraId="10B3BDE0">
            <w:pPr>
              <w:spacing w:after="0"/>
              <w:rPr>
                <w:i/>
                <w:highlight w:val="none"/>
                <w:lang w:val="en-US"/>
              </w:rPr>
            </w:pPr>
            <w:r>
              <w:rPr>
                <w:i/>
                <w:highlight w:val="none"/>
                <w:lang w:val="en-US"/>
              </w:rPr>
              <w:t>New TS</w:t>
            </w:r>
          </w:p>
        </w:tc>
        <w:tc>
          <w:tcPr>
            <w:tcW w:w="1022" w:type="dxa"/>
            <w:vAlign w:val="top"/>
          </w:tcPr>
          <w:p w14:paraId="5F9B918F">
            <w:pPr>
              <w:spacing w:after="0"/>
              <w:rPr>
                <w:i/>
                <w:highlight w:val="none"/>
                <w:lang w:val="en-US"/>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-1</w:t>
            </w:r>
          </w:p>
        </w:tc>
        <w:tc>
          <w:tcPr>
            <w:tcW w:w="2493" w:type="dxa"/>
            <w:vAlign w:val="top"/>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Yufeng Zhang (CAICT), </w:t>
            </w:r>
            <w:r>
              <w:rPr>
                <w:rStyle w:val="51"/>
                <w:rFonts w:ascii="Arial" w:hAnsi="Arial" w:eastAsia="宋体" w:cs="Arial"/>
                <w:highlight w:val="none"/>
              </w:rPr>
              <w:t>zhangyufeng@caict.ac.cn</w:t>
            </w:r>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3CE18673">
            <w:pPr>
              <w:spacing w:after="0"/>
              <w:rPr>
                <w:i/>
                <w:highlight w:val="none"/>
                <w:lang w:val="en-US"/>
              </w:rPr>
            </w:pPr>
            <w:r>
              <w:rPr>
                <w:i/>
                <w:highlight w:val="none"/>
                <w:lang w:val="en-US"/>
              </w:rPr>
              <w:t>New TS</w:t>
            </w:r>
          </w:p>
        </w:tc>
        <w:tc>
          <w:tcPr>
            <w:tcW w:w="1022" w:type="dxa"/>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-2</w:t>
            </w:r>
          </w:p>
        </w:tc>
        <w:tc>
          <w:tcPr>
            <w:tcW w:w="2493" w:type="dxa"/>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w:t>
            </w:r>
            <w:r>
              <w:rPr>
                <w:rFonts w:hint="eastAsia" w:ascii="Times New Roman" w:hAnsi="Times New Roman" w:eastAsia="宋体"/>
                <w:i/>
                <w:highlight w:val="none"/>
                <w:lang w:val="en-US" w:eastAsia="zh-CN"/>
              </w:rPr>
              <w:t>2</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E96EADE">
            <w:pPr>
              <w:spacing w:after="0"/>
              <w:rPr>
                <w:i/>
                <w:highlight w:val="none"/>
                <w:lang w:val="en-US"/>
              </w:rPr>
            </w:pPr>
            <w:r>
              <w:rPr>
                <w:i/>
                <w:highlight w:val="none"/>
                <w:lang w:val="en-US"/>
              </w:rPr>
              <w:t>New TS</w:t>
            </w:r>
          </w:p>
        </w:tc>
        <w:tc>
          <w:tcPr>
            <w:tcW w:w="1022" w:type="dxa"/>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-3</w:t>
            </w:r>
          </w:p>
        </w:tc>
        <w:tc>
          <w:tcPr>
            <w:tcW w:w="2493" w:type="dxa"/>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w:t>
            </w:r>
            <w:r>
              <w:rPr>
                <w:rFonts w:hint="eastAsia" w:ascii="Times New Roman" w:hAnsi="Times New Roman" w:eastAsia="宋体"/>
                <w:i/>
                <w:highlight w:val="none"/>
                <w:lang w:val="en-US" w:eastAsia="zh-CN"/>
              </w:rPr>
              <w:t>3</w:t>
            </w:r>
            <w:r>
              <w:rPr>
                <w:rFonts w:hint="eastAsia" w:ascii="Times New Roman" w:hAnsi="Times New Roman" w:eastAsia="宋体"/>
                <w:i/>
                <w:highlight w:val="none"/>
                <w:lang w:val="en-US" w:eastAsia="zh-CN"/>
              </w:rPr>
              <w:t xml:space="preserve">: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5EBA1D02">
            <w:pPr>
              <w:spacing w:after="0"/>
              <w:rPr>
                <w:i/>
                <w:highlight w:val="none"/>
                <w:lang w:val="en-US"/>
              </w:rPr>
            </w:pPr>
            <w:r>
              <w:rPr>
                <w:i/>
                <w:highlight w:val="none"/>
                <w:lang w:val="en-US"/>
              </w:rPr>
              <w:t>New TS</w:t>
            </w:r>
          </w:p>
        </w:tc>
        <w:tc>
          <w:tcPr>
            <w:tcW w:w="1022" w:type="dxa"/>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-4</w:t>
            </w:r>
          </w:p>
        </w:tc>
        <w:tc>
          <w:tcPr>
            <w:tcW w:w="2493" w:type="dxa"/>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radio transmission, radio reception, radio resource management, protocol 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1DDBD4A">
            <w:pPr>
              <w:spacing w:after="0"/>
              <w:rPr>
                <w:i/>
                <w:highlight w:val="none"/>
                <w:lang w:val="en-US"/>
              </w:rPr>
            </w:pPr>
            <w:r>
              <w:rPr>
                <w:i/>
                <w:highlight w:val="none"/>
                <w:lang w:val="en-US"/>
              </w:rPr>
              <w:t>New TS</w:t>
            </w:r>
          </w:p>
        </w:tc>
        <w:tc>
          <w:tcPr>
            <w:tcW w:w="1022" w:type="dxa"/>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-5</w:t>
            </w:r>
          </w:p>
        </w:tc>
        <w:tc>
          <w:tcPr>
            <w:tcW w:w="2493" w:type="dxa"/>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6D120A6D">
            <w:pPr>
              <w:spacing w:after="0"/>
              <w:rPr>
                <w:rFonts w:hint="default" w:eastAsia="宋体"/>
                <w:i/>
                <w:highlight w:val="none"/>
                <w:lang w:val="en-US" w:eastAsia="zh-CN"/>
              </w:rPr>
            </w:pPr>
            <w:r>
              <w:rPr>
                <w:rFonts w:hint="eastAsia" w:eastAsia="宋体"/>
                <w:i/>
                <w:highlight w:val="none"/>
                <w:lang w:val="en-US" w:eastAsia="zh-CN"/>
              </w:rPr>
              <w:t>New TR</w:t>
            </w:r>
          </w:p>
        </w:tc>
        <w:tc>
          <w:tcPr>
            <w:tcW w:w="1022" w:type="dxa"/>
          </w:tcPr>
          <w:p w14:paraId="1628584C">
            <w:pPr>
              <w:spacing w:after="0"/>
              <w:rPr>
                <w:i/>
                <w:highlight w:val="none"/>
                <w:lang w:val="en-US"/>
              </w:rPr>
            </w:pPr>
            <w:r>
              <w:rPr>
                <w:i/>
                <w:highlight w:val="none"/>
                <w:lang w:val="en-US"/>
              </w:rPr>
              <w:t>38.xxx</w:t>
            </w:r>
          </w:p>
        </w:tc>
        <w:tc>
          <w:tcPr>
            <w:tcW w:w="2493" w:type="dxa"/>
            <w:vAlign w:val="top"/>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eastAsia"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radio transmission and reception conformance 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bookmarkEnd w:id="4"/>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4495172"/>
    <w:rsid w:val="14DC7147"/>
    <w:rsid w:val="153A0C1D"/>
    <w:rsid w:val="157432E4"/>
    <w:rsid w:val="15C00DAC"/>
    <w:rsid w:val="16003A26"/>
    <w:rsid w:val="162E3FA7"/>
    <w:rsid w:val="1670755D"/>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BC7B49"/>
    <w:rsid w:val="1F0C1276"/>
    <w:rsid w:val="1F275C7D"/>
    <w:rsid w:val="1F28772C"/>
    <w:rsid w:val="1F3C63CC"/>
    <w:rsid w:val="1F936DDB"/>
    <w:rsid w:val="2026764F"/>
    <w:rsid w:val="20481C07"/>
    <w:rsid w:val="20672636"/>
    <w:rsid w:val="21026DD4"/>
    <w:rsid w:val="212A5BF7"/>
    <w:rsid w:val="22E86E52"/>
    <w:rsid w:val="238B1EDE"/>
    <w:rsid w:val="23CB0600"/>
    <w:rsid w:val="243F2C87"/>
    <w:rsid w:val="251A6CB5"/>
    <w:rsid w:val="252F258F"/>
    <w:rsid w:val="258F2C18"/>
    <w:rsid w:val="25B81E8A"/>
    <w:rsid w:val="25C609A2"/>
    <w:rsid w:val="25CE3729"/>
    <w:rsid w:val="25E27C29"/>
    <w:rsid w:val="25ED24B7"/>
    <w:rsid w:val="25F330CF"/>
    <w:rsid w:val="26AA1AA0"/>
    <w:rsid w:val="26BC581C"/>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B20324F"/>
    <w:rsid w:val="2BE14B17"/>
    <w:rsid w:val="2C4128DF"/>
    <w:rsid w:val="2C43682A"/>
    <w:rsid w:val="2C4602D1"/>
    <w:rsid w:val="2C5632CC"/>
    <w:rsid w:val="2C5D5807"/>
    <w:rsid w:val="2CA3594A"/>
    <w:rsid w:val="2D277455"/>
    <w:rsid w:val="2D29396D"/>
    <w:rsid w:val="2D432919"/>
    <w:rsid w:val="2D444746"/>
    <w:rsid w:val="2D530865"/>
    <w:rsid w:val="2D6329A9"/>
    <w:rsid w:val="2DB42A61"/>
    <w:rsid w:val="2DBF2D37"/>
    <w:rsid w:val="2DE51610"/>
    <w:rsid w:val="2DE5166B"/>
    <w:rsid w:val="2EA4080B"/>
    <w:rsid w:val="2EDD0C2B"/>
    <w:rsid w:val="2EF56B62"/>
    <w:rsid w:val="2F1F5CDD"/>
    <w:rsid w:val="2F880A79"/>
    <w:rsid w:val="2FC260AC"/>
    <w:rsid w:val="2FDD3B12"/>
    <w:rsid w:val="2FEC412C"/>
    <w:rsid w:val="30183F1E"/>
    <w:rsid w:val="30697FFE"/>
    <w:rsid w:val="308B708D"/>
    <w:rsid w:val="30955D5F"/>
    <w:rsid w:val="314B0324"/>
    <w:rsid w:val="317D512B"/>
    <w:rsid w:val="31C97E3A"/>
    <w:rsid w:val="31FB76F2"/>
    <w:rsid w:val="325A081E"/>
    <w:rsid w:val="32863317"/>
    <w:rsid w:val="33E90EA0"/>
    <w:rsid w:val="33ED2033"/>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E26B8F"/>
    <w:rsid w:val="3CF06E89"/>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985FF2"/>
    <w:rsid w:val="441F3676"/>
    <w:rsid w:val="44380DDF"/>
    <w:rsid w:val="44472913"/>
    <w:rsid w:val="44D45521"/>
    <w:rsid w:val="44F23779"/>
    <w:rsid w:val="454C0948"/>
    <w:rsid w:val="4586324F"/>
    <w:rsid w:val="46242042"/>
    <w:rsid w:val="465C267B"/>
    <w:rsid w:val="466B35E0"/>
    <w:rsid w:val="467D1D87"/>
    <w:rsid w:val="46A240EA"/>
    <w:rsid w:val="46AA20FD"/>
    <w:rsid w:val="46F9283F"/>
    <w:rsid w:val="47C77051"/>
    <w:rsid w:val="47DC362C"/>
    <w:rsid w:val="485C5346"/>
    <w:rsid w:val="48A97644"/>
    <w:rsid w:val="48BA1708"/>
    <w:rsid w:val="498875C7"/>
    <w:rsid w:val="49892535"/>
    <w:rsid w:val="4A553237"/>
    <w:rsid w:val="4AED5199"/>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30F48B5"/>
    <w:rsid w:val="533802B0"/>
    <w:rsid w:val="53A476F3"/>
    <w:rsid w:val="53E0692D"/>
    <w:rsid w:val="548E44C7"/>
    <w:rsid w:val="549C0310"/>
    <w:rsid w:val="54B35714"/>
    <w:rsid w:val="55956954"/>
    <w:rsid w:val="55AF56D0"/>
    <w:rsid w:val="55AF7D5C"/>
    <w:rsid w:val="55E83DF7"/>
    <w:rsid w:val="55EF668D"/>
    <w:rsid w:val="560B18D1"/>
    <w:rsid w:val="56407B38"/>
    <w:rsid w:val="564571C2"/>
    <w:rsid w:val="56B51C18"/>
    <w:rsid w:val="56CA4E10"/>
    <w:rsid w:val="56CB143B"/>
    <w:rsid w:val="56DF3324"/>
    <w:rsid w:val="57075E55"/>
    <w:rsid w:val="58180086"/>
    <w:rsid w:val="59047E99"/>
    <w:rsid w:val="591A7E3E"/>
    <w:rsid w:val="594F26CA"/>
    <w:rsid w:val="5B1169B4"/>
    <w:rsid w:val="5B5E2A81"/>
    <w:rsid w:val="5BA474E8"/>
    <w:rsid w:val="5C1D44E7"/>
    <w:rsid w:val="5C2313D1"/>
    <w:rsid w:val="5C2A09B2"/>
    <w:rsid w:val="5C6B5537"/>
    <w:rsid w:val="5CA4708A"/>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E65DE"/>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A7366D"/>
    <w:rsid w:val="73A957CF"/>
    <w:rsid w:val="73CE6FAD"/>
    <w:rsid w:val="73FF7279"/>
    <w:rsid w:val="741A4809"/>
    <w:rsid w:val="74B11819"/>
    <w:rsid w:val="74E10D4F"/>
    <w:rsid w:val="754F1383"/>
    <w:rsid w:val="75BE53B6"/>
    <w:rsid w:val="75C42647"/>
    <w:rsid w:val="75DD634B"/>
    <w:rsid w:val="762E472B"/>
    <w:rsid w:val="76D23E26"/>
    <w:rsid w:val="77196A5C"/>
    <w:rsid w:val="775C359E"/>
    <w:rsid w:val="77A0499F"/>
    <w:rsid w:val="78C95383"/>
    <w:rsid w:val="78FA1A7F"/>
    <w:rsid w:val="792E5ADB"/>
    <w:rsid w:val="79492313"/>
    <w:rsid w:val="794D6390"/>
    <w:rsid w:val="79FC2CB0"/>
    <w:rsid w:val="7A1D5075"/>
    <w:rsid w:val="7A5E45E2"/>
    <w:rsid w:val="7A6D55EE"/>
    <w:rsid w:val="7ADB231E"/>
    <w:rsid w:val="7B1511FF"/>
    <w:rsid w:val="7BAD4DDA"/>
    <w:rsid w:val="7BC01697"/>
    <w:rsid w:val="7C8E41ED"/>
    <w:rsid w:val="7CD82E71"/>
    <w:rsid w:val="7CDA2332"/>
    <w:rsid w:val="7CE710FA"/>
    <w:rsid w:val="7D090547"/>
    <w:rsid w:val="7D637428"/>
    <w:rsid w:val="7D7D4E70"/>
    <w:rsid w:val="7DA22646"/>
    <w:rsid w:val="7DB52379"/>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1781</Words>
  <Characters>9783</Characters>
  <Lines>68</Lines>
  <Paragraphs>19</Paragraphs>
  <TotalTime>23</TotalTime>
  <ScaleCrop>false</ScaleCrop>
  <LinksUpToDate>false</LinksUpToDate>
  <CharactersWithSpaces>11375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2025-11-21T02:26:10Z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2052-12.1.0.23542</vt:lpwstr>
  </property>
  <property fmtid="{D5CDD505-2E9C-101B-9397-08002B2CF9AE}" pid="8" name="ICV">
    <vt:lpwstr>2115A9A4F0624FB7807DF7EC42A6FBD4_13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eyJoZGlkIjoiYWM5YjVkMzY2OTFhYjRkN2I3N2M4MTMxMDkyNjU3NmUiLCJ1c2VySWQiOiIzMzIwNTUyNDgifQ==</vt:lpwstr>
  </property>
</Properties>
</file>